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1" w:rsidRDefault="00587D31" w:rsidP="0058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87D31">
        <w:rPr>
          <w:rFonts w:ascii="Times New Roman" w:hAnsi="Times New Roman" w:cs="Times New Roman"/>
          <w:sz w:val="36"/>
          <w:szCs w:val="36"/>
        </w:rPr>
        <w:t>L</w:t>
      </w:r>
      <w:r w:rsidR="00441A19">
        <w:rPr>
          <w:rFonts w:ascii="Times New Roman" w:hAnsi="Times New Roman" w:cs="Times New Roman"/>
          <w:sz w:val="36"/>
          <w:szCs w:val="36"/>
        </w:rPr>
        <w:t xml:space="preserve">'interprétation de la double échelle: la fonction d'onde externe de </w:t>
      </w:r>
      <w:proofErr w:type="spellStart"/>
      <w:r w:rsidR="00441A19">
        <w:rPr>
          <w:rFonts w:ascii="Times New Roman" w:hAnsi="Times New Roman" w:cs="Times New Roman"/>
          <w:sz w:val="36"/>
          <w:szCs w:val="36"/>
        </w:rPr>
        <w:t>de</w:t>
      </w:r>
      <w:proofErr w:type="spellEnd"/>
      <w:r w:rsidR="00441A19">
        <w:rPr>
          <w:rFonts w:ascii="Times New Roman" w:hAnsi="Times New Roman" w:cs="Times New Roman"/>
          <w:sz w:val="36"/>
          <w:szCs w:val="36"/>
        </w:rPr>
        <w:t xml:space="preserve"> Broglie et interne de Schrödinger</w:t>
      </w:r>
    </w:p>
    <w:p w:rsidR="00441A19" w:rsidRPr="00587D31" w:rsidRDefault="00441A19" w:rsidP="0058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Michel </w:t>
      </w:r>
      <w:proofErr w:type="spellStart"/>
      <w:r>
        <w:rPr>
          <w:rFonts w:ascii="SFRM1000" w:hAnsi="SFRM1000" w:cs="SFRM1000"/>
          <w:sz w:val="20"/>
          <w:szCs w:val="20"/>
        </w:rPr>
        <w:t>Gondran</w:t>
      </w:r>
      <w:proofErr w:type="spellEnd"/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CMSY7" w:hAnsi="CMSY7" w:cs="CMSY7"/>
          <w:sz w:val="14"/>
          <w:szCs w:val="14"/>
        </w:rPr>
      </w:pPr>
      <w:r>
        <w:rPr>
          <w:rFonts w:ascii="SFTI1000" w:hAnsi="SFTI1000" w:cs="SFTI1000"/>
          <w:sz w:val="20"/>
          <w:szCs w:val="20"/>
        </w:rPr>
        <w:t>Académie Européenne Interdisciplinaire des Sciences, Paris, France</w:t>
      </w:r>
      <w:r>
        <w:rPr>
          <w:rFonts w:ascii="CMSY7" w:hAnsi="CMSY7" w:cs="CMSY7"/>
          <w:sz w:val="14"/>
          <w:szCs w:val="14"/>
        </w:rPr>
        <w:t>_</w:t>
      </w:r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Alexandre </w:t>
      </w:r>
      <w:proofErr w:type="spellStart"/>
      <w:r>
        <w:rPr>
          <w:rFonts w:ascii="SFRM1000" w:hAnsi="SFRM1000" w:cs="SFRM1000"/>
          <w:sz w:val="20"/>
          <w:szCs w:val="20"/>
        </w:rPr>
        <w:t>Gondran</w:t>
      </w:r>
      <w:proofErr w:type="spellEnd"/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CMSY7" w:hAnsi="CMSY7" w:cs="CMSY7"/>
          <w:sz w:val="14"/>
          <w:szCs w:val="14"/>
        </w:rPr>
      </w:pPr>
      <w:r>
        <w:rPr>
          <w:rFonts w:ascii="SFTI1000" w:hAnsi="SFTI1000" w:cs="SFTI1000"/>
          <w:sz w:val="20"/>
          <w:szCs w:val="20"/>
        </w:rPr>
        <w:t>École Nationale de l’Aviation Civile, 31000 Toulouse, France</w:t>
      </w:r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   </w:t>
      </w:r>
    </w:p>
    <w:p w:rsidR="00587D31" w:rsidRDefault="00587D31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31">
        <w:rPr>
          <w:rFonts w:ascii="Times New Roman" w:hAnsi="Times New Roman" w:cs="Times New Roman"/>
          <w:b/>
          <w:sz w:val="28"/>
          <w:szCs w:val="28"/>
        </w:rPr>
        <w:t>Résumé</w:t>
      </w:r>
    </w:p>
    <w:p w:rsidR="0039370B" w:rsidRPr="00587D31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1F" w:rsidRDefault="00587D31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31">
        <w:rPr>
          <w:rFonts w:ascii="Times New Roman" w:hAnsi="Times New Roman" w:cs="Times New Roman"/>
          <w:sz w:val="28"/>
          <w:szCs w:val="28"/>
        </w:rPr>
        <w:t>Nous</w:t>
      </w:r>
      <w:r w:rsidR="00495428">
        <w:rPr>
          <w:rFonts w:ascii="Times New Roman" w:hAnsi="Times New Roman" w:cs="Times New Roman"/>
          <w:sz w:val="28"/>
          <w:szCs w:val="28"/>
        </w:rPr>
        <w:t xml:space="preserve"> proposons</w:t>
      </w:r>
      <w:r w:rsidR="004042A9">
        <w:rPr>
          <w:rStyle w:val="Appeldenotedefin"/>
          <w:rFonts w:ascii="Times New Roman" w:hAnsi="Times New Roman" w:cs="Times New Roman"/>
          <w:sz w:val="28"/>
          <w:szCs w:val="28"/>
        </w:rPr>
        <w:endnoteReference w:id="1"/>
      </w:r>
      <w:r w:rsidR="00495428">
        <w:rPr>
          <w:rFonts w:ascii="Times New Roman" w:hAnsi="Times New Roman" w:cs="Times New Roman"/>
          <w:sz w:val="28"/>
          <w:szCs w:val="28"/>
        </w:rPr>
        <w:t xml:space="preserve"> une </w:t>
      </w:r>
      <w:r w:rsidR="00495428" w:rsidRPr="00DE7F9D">
        <w:rPr>
          <w:rFonts w:ascii="Times New Roman" w:hAnsi="Times New Roman" w:cs="Times New Roman"/>
          <w:b/>
          <w:sz w:val="28"/>
          <w:szCs w:val="28"/>
        </w:rPr>
        <w:t>nouvelle interprétation</w:t>
      </w:r>
      <w:r w:rsidRPr="00587D31">
        <w:rPr>
          <w:rFonts w:ascii="Times New Roman" w:hAnsi="Times New Roman" w:cs="Times New Roman"/>
          <w:sz w:val="28"/>
          <w:szCs w:val="28"/>
        </w:rPr>
        <w:t xml:space="preserve"> de la mé</w:t>
      </w:r>
      <w:r w:rsidR="00495428">
        <w:rPr>
          <w:rFonts w:ascii="Times New Roman" w:hAnsi="Times New Roman" w:cs="Times New Roman"/>
          <w:sz w:val="28"/>
          <w:szCs w:val="28"/>
        </w:rPr>
        <w:t xml:space="preserve">canique quantique répondant </w:t>
      </w:r>
      <w:r w:rsidRPr="00587D31">
        <w:rPr>
          <w:rFonts w:ascii="Times New Roman" w:hAnsi="Times New Roman" w:cs="Times New Roman"/>
          <w:sz w:val="28"/>
          <w:szCs w:val="28"/>
        </w:rPr>
        <w:t>aux spécifications de la théorie de la double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31">
        <w:rPr>
          <w:rFonts w:ascii="Times New Roman" w:hAnsi="Times New Roman" w:cs="Times New Roman"/>
          <w:sz w:val="28"/>
          <w:szCs w:val="28"/>
        </w:rPr>
        <w:t xml:space="preserve">solution </w:t>
      </w:r>
      <w:r w:rsidR="00495428">
        <w:rPr>
          <w:rFonts w:ascii="Times New Roman" w:hAnsi="Times New Roman" w:cs="Times New Roman"/>
          <w:sz w:val="28"/>
          <w:szCs w:val="28"/>
        </w:rPr>
        <w:t>recherchée par</w:t>
      </w:r>
      <w:r w:rsidRPr="00587D31">
        <w:rPr>
          <w:rFonts w:ascii="Times New Roman" w:hAnsi="Times New Roman" w:cs="Times New Roman"/>
          <w:sz w:val="28"/>
          <w:szCs w:val="28"/>
        </w:rPr>
        <w:t xml:space="preserve"> Louis de Broglie</w:t>
      </w:r>
      <w:r w:rsidR="0077341F">
        <w:rPr>
          <w:rFonts w:ascii="Times New Roman" w:hAnsi="Times New Roman" w:cs="Times New Roman"/>
          <w:sz w:val="28"/>
          <w:szCs w:val="28"/>
        </w:rPr>
        <w:t xml:space="preserve">. </w:t>
      </w:r>
      <w:r w:rsidR="00495428">
        <w:rPr>
          <w:rFonts w:ascii="Times New Roman" w:hAnsi="Times New Roman" w:cs="Times New Roman"/>
          <w:sz w:val="28"/>
          <w:szCs w:val="28"/>
        </w:rPr>
        <w:t>Elle est basée sur le fait bien connu</w:t>
      </w:r>
      <w:r w:rsidR="0077341F">
        <w:rPr>
          <w:rFonts w:ascii="Times New Roman" w:hAnsi="Times New Roman" w:cs="Times New Roman"/>
          <w:sz w:val="28"/>
          <w:szCs w:val="28"/>
        </w:rPr>
        <w:t xml:space="preserve"> q</w:t>
      </w:r>
      <w:r w:rsidR="00495428">
        <w:rPr>
          <w:rFonts w:ascii="Times New Roman" w:hAnsi="Times New Roman" w:cs="Times New Roman"/>
          <w:sz w:val="28"/>
          <w:szCs w:val="28"/>
        </w:rPr>
        <w:t>ue la fonction d'onde complète</w:t>
      </w:r>
      <w:r w:rsidR="0077341F">
        <w:rPr>
          <w:rFonts w:ascii="Times New Roman" w:hAnsi="Times New Roman" w:cs="Times New Roman"/>
          <w:sz w:val="28"/>
          <w:szCs w:val="28"/>
        </w:rPr>
        <w:t xml:space="preserve"> d'un sys</w:t>
      </w:r>
      <w:r w:rsidR="00495428">
        <w:rPr>
          <w:rFonts w:ascii="Times New Roman" w:hAnsi="Times New Roman" w:cs="Times New Roman"/>
          <w:sz w:val="28"/>
          <w:szCs w:val="28"/>
        </w:rPr>
        <w:t>tème quantique, comme un atome</w:t>
      </w:r>
      <w:r w:rsidR="0077341F">
        <w:rPr>
          <w:rFonts w:ascii="Times New Roman" w:hAnsi="Times New Roman" w:cs="Times New Roman"/>
          <w:sz w:val="28"/>
          <w:szCs w:val="28"/>
        </w:rPr>
        <w:t xml:space="preserve"> ou</w:t>
      </w:r>
      <w:r w:rsidR="00495428">
        <w:rPr>
          <w:rFonts w:ascii="Times New Roman" w:hAnsi="Times New Roman" w:cs="Times New Roman"/>
          <w:sz w:val="28"/>
          <w:szCs w:val="28"/>
        </w:rPr>
        <w:t xml:space="preserve"> une molécule</w:t>
      </w:r>
      <w:r w:rsidR="0077341F">
        <w:rPr>
          <w:rFonts w:ascii="Times New Roman" w:hAnsi="Times New Roman" w:cs="Times New Roman"/>
          <w:sz w:val="28"/>
          <w:szCs w:val="28"/>
        </w:rPr>
        <w:t xml:space="preserve">, se décompose approximativement comme </w:t>
      </w:r>
      <w:r w:rsidR="0077341F" w:rsidRPr="0039370B">
        <w:rPr>
          <w:rFonts w:ascii="Times New Roman" w:hAnsi="Times New Roman" w:cs="Times New Roman"/>
          <w:b/>
          <w:sz w:val="28"/>
          <w:szCs w:val="28"/>
        </w:rPr>
        <w:t>le produit de deux fonctions d'onde</w:t>
      </w:r>
      <w:r w:rsidR="0077341F">
        <w:rPr>
          <w:rFonts w:ascii="Times New Roman" w:hAnsi="Times New Roman" w:cs="Times New Roman"/>
          <w:sz w:val="28"/>
          <w:szCs w:val="28"/>
        </w:rPr>
        <w:t xml:space="preserve"> correspondant chacune </w:t>
      </w:r>
      <w:r w:rsidR="0077341F" w:rsidRPr="00495428">
        <w:rPr>
          <w:rFonts w:ascii="Times New Roman" w:hAnsi="Times New Roman" w:cs="Times New Roman"/>
          <w:b/>
          <w:sz w:val="28"/>
          <w:szCs w:val="28"/>
        </w:rPr>
        <w:t>à une échelle différente</w:t>
      </w:r>
      <w:r w:rsidR="0077341F">
        <w:rPr>
          <w:rFonts w:ascii="Times New Roman" w:hAnsi="Times New Roman" w:cs="Times New Roman"/>
          <w:sz w:val="28"/>
          <w:szCs w:val="28"/>
        </w:rPr>
        <w:t>.</w:t>
      </w:r>
    </w:p>
    <w:p w:rsidR="0077341F" w:rsidRDefault="0077341F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B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A l’échelle macroscopique, </w:t>
      </w:r>
      <w:r w:rsidR="00495428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la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fonction d’onde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externe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est liée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à l’évolution du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centre de masse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du système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quantique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Elle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« pilote » le centre de masse du système quantique et correspond à la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théorie de </w:t>
      </w:r>
      <w:proofErr w:type="spellStart"/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de</w:t>
      </w:r>
      <w:proofErr w:type="spellEnd"/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Broglie-</w:t>
      </w:r>
      <w:proofErr w:type="spellStart"/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Bohm</w:t>
      </w:r>
      <w:proofErr w:type="spellEnd"/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restreinte au centre de masse.  Elle permet de résoudre élégamment le problème de la mesure en mécanique quantique.  </w:t>
      </w:r>
    </w:p>
    <w:p w:rsidR="0039370B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39370B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A l’échelle microscopique,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la fonction d’onde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interne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correspond à l’évolution de ses variables internes dans le référentie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l du centre de masse. Pour cette fonction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l’i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nterprétation </w:t>
      </w:r>
      <w:proofErr w:type="spellStart"/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dBB</w:t>
      </w:r>
      <w:proofErr w:type="spellEnd"/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ne s’impose plus et nous proposons 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qu’elle soit remplacée par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l’interprétation de Schrödinger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  Pour lui, les particules sont étendues et </w:t>
      </w:r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correspondent à des </w:t>
      </w:r>
      <w:proofErr w:type="spellStart"/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solitons</w:t>
      </w:r>
      <w:proofErr w:type="spellEnd"/>
      <w:r w:rsidR="004042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39370B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937ABA" w:rsidRDefault="0039370B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Cette double interprétation est une </w:t>
      </w:r>
      <w:r w:rsidRPr="0039370B">
        <w:rPr>
          <w:rStyle w:val="lev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grille de lecture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 permettant de </w:t>
      </w:r>
      <w:r w:rsidRPr="00DC0CB7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comprendre 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les débats sur les interpréta</w:t>
      </w:r>
      <w:r w:rsidR="00DE7F9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tions de la </w:t>
      </w:r>
      <w:r w:rsidR="00DE7F9D" w:rsidRPr="00DC0CB7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mécanique quantique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qui ne faisaient pas la différence entre les fonctions d’onde externe et interne</w:t>
      </w:r>
      <w:r w:rsidR="00DE7F9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(dualité onde-particule, mesures, inégalités d'Heisenberg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DE7F9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étalement ou non de la fonction d'onde) </w:t>
      </w:r>
      <w:r w:rsidRPr="0039370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ainsi que de mieux voir les relations entre gravité et mécanique quantique.</w:t>
      </w:r>
    </w:p>
    <w:p w:rsidR="00937ABA" w:rsidRDefault="00937ABA" w:rsidP="0058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FF71B1" w:rsidRPr="00587D31" w:rsidRDefault="00FF71B1" w:rsidP="00587D31">
      <w:pPr>
        <w:rPr>
          <w:rFonts w:ascii="Times New Roman" w:hAnsi="Times New Roman" w:cs="Times New Roman"/>
          <w:sz w:val="28"/>
          <w:szCs w:val="28"/>
        </w:rPr>
      </w:pPr>
    </w:p>
    <w:sectPr w:rsidR="00FF71B1" w:rsidRPr="00587D31" w:rsidSect="00FF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8D" w:rsidRDefault="00ED348D" w:rsidP="004042A9">
      <w:pPr>
        <w:spacing w:after="0" w:line="240" w:lineRule="auto"/>
      </w:pPr>
      <w:r>
        <w:separator/>
      </w:r>
    </w:p>
  </w:endnote>
  <w:endnote w:type="continuationSeparator" w:id="0">
    <w:p w:rsidR="00ED348D" w:rsidRDefault="00ED348D" w:rsidP="004042A9">
      <w:pPr>
        <w:spacing w:after="0" w:line="240" w:lineRule="auto"/>
      </w:pPr>
      <w:r>
        <w:continuationSeparator/>
      </w:r>
    </w:p>
  </w:endnote>
  <w:endnote w:id="1">
    <w:p w:rsidR="004042A9" w:rsidRDefault="004042A9">
      <w:pPr>
        <w:pStyle w:val="Notedefin"/>
      </w:pPr>
      <w:r>
        <w:rPr>
          <w:rStyle w:val="Appeldenotedefin"/>
        </w:rPr>
        <w:endnoteRef/>
      </w:r>
      <w:r>
        <w:t xml:space="preserve"> M. </w:t>
      </w:r>
      <w:proofErr w:type="spellStart"/>
      <w:r>
        <w:t>Gondran</w:t>
      </w:r>
      <w:proofErr w:type="spellEnd"/>
      <w:r>
        <w:t xml:space="preserve"> et A. </w:t>
      </w:r>
      <w:proofErr w:type="spellStart"/>
      <w:r>
        <w:t>Gondran</w:t>
      </w:r>
      <w:proofErr w:type="spellEnd"/>
      <w:r>
        <w:t xml:space="preserve">, "The </w:t>
      </w:r>
      <w:proofErr w:type="spellStart"/>
      <w:r>
        <w:t>two</w:t>
      </w:r>
      <w:proofErr w:type="spellEnd"/>
      <w:r>
        <w:t>-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: de Broglie and Schrödinger </w:t>
      </w:r>
      <w:proofErr w:type="spellStart"/>
      <w:r>
        <w:t>External</w:t>
      </w:r>
      <w:proofErr w:type="spellEnd"/>
      <w:r>
        <w:t xml:space="preserve">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>", Annales de la Fondation de Broglie, à paraitre, début 2021.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FRM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I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8D" w:rsidRDefault="00ED348D" w:rsidP="004042A9">
      <w:pPr>
        <w:spacing w:after="0" w:line="240" w:lineRule="auto"/>
      </w:pPr>
      <w:r>
        <w:separator/>
      </w:r>
    </w:p>
  </w:footnote>
  <w:footnote w:type="continuationSeparator" w:id="0">
    <w:p w:rsidR="00ED348D" w:rsidRDefault="00ED348D" w:rsidP="00404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31"/>
    <w:rsid w:val="000C7740"/>
    <w:rsid w:val="000F3845"/>
    <w:rsid w:val="0018061A"/>
    <w:rsid w:val="0039370B"/>
    <w:rsid w:val="004042A9"/>
    <w:rsid w:val="00441A19"/>
    <w:rsid w:val="00495428"/>
    <w:rsid w:val="00554C27"/>
    <w:rsid w:val="00587D31"/>
    <w:rsid w:val="006D0900"/>
    <w:rsid w:val="0077341F"/>
    <w:rsid w:val="007A460D"/>
    <w:rsid w:val="009000E1"/>
    <w:rsid w:val="00937ABA"/>
    <w:rsid w:val="00C164E7"/>
    <w:rsid w:val="00CD51A9"/>
    <w:rsid w:val="00DC0CB7"/>
    <w:rsid w:val="00DC7D6A"/>
    <w:rsid w:val="00DE7F9D"/>
    <w:rsid w:val="00ED348D"/>
    <w:rsid w:val="00ED79F8"/>
    <w:rsid w:val="00F53C3D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9370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42A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042A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042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47F8-BAB2-4617-8199-A67634C9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6</cp:revision>
  <dcterms:created xsi:type="dcterms:W3CDTF">2021-01-16T11:53:00Z</dcterms:created>
  <dcterms:modified xsi:type="dcterms:W3CDTF">2021-01-16T13:07:00Z</dcterms:modified>
</cp:coreProperties>
</file>